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782354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8" o:title=""/>
                  </v:shape>
                  <v:shape id="_x0000_s1032" type="#_x0000_t75" style="position:absolute;left:6127;top:4320;width:518;height:713">
                    <v:imagedata r:id="rId9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F72C8A">
              <w:rPr>
                <w:rFonts w:ascii="Arial" w:hAnsi="Arial"/>
                <w:color w:val="000000"/>
              </w:rPr>
              <w:t xml:space="preserve">CBM, </w:t>
            </w:r>
            <w:r w:rsidR="00F72C8A">
              <w:rPr>
                <w:rFonts w:ascii="Arial" w:hAnsi="Arial"/>
                <w:i/>
                <w:color w:val="FF0000"/>
              </w:rPr>
              <w:t>Academic Systems, UBCIT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72C8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F72C8A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 xml:space="preserve">: </w:t>
            </w:r>
            <w:r w:rsidR="00F72C8A">
              <w:rPr>
                <w:b/>
                <w:szCs w:val="24"/>
              </w:rPr>
              <w:t>Develop and maintain secure systems and applications</w:t>
            </w:r>
          </w:p>
        </w:tc>
      </w:tr>
      <w:tr w:rsidR="009129E4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380C0D" w:rsidRPr="00380C0D" w:rsidRDefault="00380C0D" w:rsidP="00380C0D">
            <w:pPr>
              <w:pStyle w:val="Header"/>
              <w:rPr>
                <w:b/>
                <w:sz w:val="22"/>
                <w:szCs w:val="22"/>
              </w:rPr>
            </w:pPr>
            <w:r w:rsidRPr="00380C0D">
              <w:rPr>
                <w:b/>
                <w:sz w:val="22"/>
                <w:szCs w:val="22"/>
              </w:rPr>
              <w:t>6.6 Are all web-facing applications protected against known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80C0D">
              <w:rPr>
                <w:b/>
                <w:sz w:val="22"/>
                <w:szCs w:val="22"/>
              </w:rPr>
              <w:t>attacks by applying either of the following methods?</w:t>
            </w:r>
          </w:p>
          <w:p w:rsidR="00380C0D" w:rsidRPr="00380C0D" w:rsidRDefault="00380C0D" w:rsidP="00380C0D">
            <w:pPr>
              <w:pStyle w:val="Header"/>
              <w:rPr>
                <w:b/>
                <w:sz w:val="22"/>
                <w:szCs w:val="22"/>
              </w:rPr>
            </w:pPr>
            <w:r w:rsidRPr="00380C0D">
              <w:rPr>
                <w:b/>
                <w:sz w:val="22"/>
                <w:szCs w:val="22"/>
              </w:rPr>
              <w:t>1. Having all custom application code reviewed for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80C0D">
              <w:rPr>
                <w:b/>
                <w:sz w:val="22"/>
                <w:szCs w:val="22"/>
              </w:rPr>
              <w:t>common vulnerabilities by an organization that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80C0D">
              <w:rPr>
                <w:b/>
                <w:sz w:val="22"/>
                <w:szCs w:val="22"/>
              </w:rPr>
              <w:t>specializes in application security.</w:t>
            </w:r>
          </w:p>
          <w:p w:rsidR="00C1449B" w:rsidRPr="00F5323E" w:rsidRDefault="00380C0D" w:rsidP="00380C0D">
            <w:pPr>
              <w:pStyle w:val="Header"/>
              <w:rPr>
                <w:b/>
                <w:sz w:val="22"/>
                <w:szCs w:val="22"/>
              </w:rPr>
            </w:pPr>
            <w:r w:rsidRPr="00380C0D">
              <w:rPr>
                <w:b/>
                <w:sz w:val="22"/>
                <w:szCs w:val="22"/>
              </w:rPr>
              <w:t>2. Installing an application layer firewall in front of webfacing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80C0D">
              <w:rPr>
                <w:b/>
                <w:sz w:val="22"/>
                <w:szCs w:val="22"/>
              </w:rPr>
              <w:t>applications.</w:t>
            </w:r>
          </w:p>
        </w:tc>
      </w:tr>
      <w:tr w:rsidR="00030936" w:rsidTr="00F72C8A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Pr="00F72C8A" w:rsidRDefault="00F72C8A" w:rsidP="00F72C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August 1,2010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1D6500" w:rsidRDefault="001D6500" w:rsidP="001D6500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 purpose of this document is to </w:t>
      </w:r>
      <w:r w:rsidRPr="00A96EFE">
        <w:rPr>
          <w:sz w:val="22"/>
          <w:szCs w:val="22"/>
        </w:rPr>
        <w:t>specify</w:t>
      </w:r>
      <w:r>
        <w:rPr>
          <w:sz w:val="22"/>
          <w:szCs w:val="22"/>
        </w:rPr>
        <w:t xml:space="preserve"> procedures for PCI Compliance requirement 6.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Senior Systems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Systems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Business Analyst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QA Lead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Software Architect</w:t>
      </w:r>
    </w:p>
    <w:p w:rsidR="002F6DAC" w:rsidRDefault="002F6DA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Project Manager</w:t>
      </w:r>
    </w:p>
    <w:p w:rsidR="00CA7D45" w:rsidRDefault="00CA7D45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Academic Systems Support</w:t>
      </w:r>
    </w:p>
    <w:p w:rsidR="00333FDE" w:rsidRDefault="00333FD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Desktop services </w:t>
      </w:r>
    </w:p>
    <w:p w:rsidR="00333FDE" w:rsidRDefault="00333FD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Business Manager</w:t>
      </w:r>
    </w:p>
    <w:p w:rsidR="00CA7D45" w:rsidRDefault="00CA7D45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</w:t>
      </w:r>
      <w:r w:rsidR="00DD33F9">
        <w:rPr>
          <w:sz w:val="22"/>
          <w:szCs w:val="22"/>
        </w:rPr>
        <w:t>contact: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 Rashtian, Manager Academic Systems Support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Phone: 604-822-8886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Sharon.rashtian@ubc.ca</w:t>
      </w: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CA7D45" w:rsidRDefault="00333FDE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Administrators who have access to CBM’s Virtual Terminal for handling individual payments are equipped with </w:t>
      </w:r>
      <w:r w:rsidR="00F42ABE">
        <w:rPr>
          <w:sz w:val="22"/>
          <w:szCs w:val="22"/>
        </w:rPr>
        <w:t xml:space="preserve">a full suite of software </w:t>
      </w:r>
      <w:r>
        <w:rPr>
          <w:sz w:val="22"/>
          <w:szCs w:val="22"/>
        </w:rPr>
        <w:t>from SOPHOS</w:t>
      </w:r>
      <w:r w:rsidR="00F42ABE">
        <w:rPr>
          <w:sz w:val="22"/>
          <w:szCs w:val="22"/>
        </w:rPr>
        <w:t xml:space="preserve"> to handle Firewall as well as virus scan</w:t>
      </w:r>
      <w:r>
        <w:rPr>
          <w:sz w:val="22"/>
          <w:szCs w:val="22"/>
        </w:rPr>
        <w:t>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Trustwave monitors our admin and payment gateway server to ensure it has the proper level of security that is required for application. </w:t>
      </w:r>
      <w:r w:rsidR="00B20AA6">
        <w:rPr>
          <w:sz w:val="22"/>
          <w:szCs w:val="22"/>
        </w:rPr>
        <w:t xml:space="preserve">Academic </w:t>
      </w:r>
      <w:r w:rsidR="00333FDE">
        <w:rPr>
          <w:sz w:val="22"/>
          <w:szCs w:val="22"/>
        </w:rPr>
        <w:t>S</w:t>
      </w:r>
      <w:r w:rsidR="00B20AA6">
        <w:rPr>
          <w:sz w:val="22"/>
          <w:szCs w:val="22"/>
        </w:rPr>
        <w:t xml:space="preserve">ystems receives </w:t>
      </w:r>
      <w:r w:rsidR="00DD33F9">
        <w:rPr>
          <w:sz w:val="22"/>
          <w:szCs w:val="22"/>
        </w:rPr>
        <w:t>regular</w:t>
      </w:r>
      <w:r w:rsidR="00B20AA6">
        <w:rPr>
          <w:sz w:val="22"/>
          <w:szCs w:val="22"/>
        </w:rPr>
        <w:t xml:space="preserve"> reports and</w:t>
      </w:r>
      <w:r w:rsidR="00333FDE">
        <w:rPr>
          <w:sz w:val="22"/>
          <w:szCs w:val="22"/>
        </w:rPr>
        <w:t xml:space="preserve"> if there are vulnerabilities or exploits in the system</w:t>
      </w:r>
      <w:r w:rsidR="00B20AA6">
        <w:rPr>
          <w:sz w:val="22"/>
          <w:szCs w:val="22"/>
        </w:rPr>
        <w:t>, it has been clearly identified in the report.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Code review by peers reduces the possibility of vulnerabilities in the system, and best practices in coding standards are being used by the development team.</w:t>
      </w:r>
    </w:p>
    <w:p w:rsidR="002F6DAC" w:rsidRDefault="002F6DAC" w:rsidP="00867F6D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Design review and approval by Software Architect ensures </w:t>
      </w:r>
      <w:r w:rsidR="00B20AA6">
        <w:rPr>
          <w:sz w:val="22"/>
          <w:szCs w:val="22"/>
        </w:rPr>
        <w:t>security of the system is</w:t>
      </w:r>
      <w:r w:rsidR="00333FDE">
        <w:rPr>
          <w:sz w:val="22"/>
          <w:szCs w:val="22"/>
        </w:rPr>
        <w:t xml:space="preserve"> also in place to ensure no new security risks are being introduced to CBM</w:t>
      </w:r>
      <w:r>
        <w:rPr>
          <w:sz w:val="22"/>
          <w:szCs w:val="22"/>
        </w:rPr>
        <w:t xml:space="preserve">. 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lastRenderedPageBreak/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8786A" w:rsidRDefault="00C8786A" w:rsidP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sectPr w:rsidR="00C8786A" w:rsidRPr="00C8786A" w:rsidSect="00030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B20" w:rsidRDefault="00E76B20">
      <w:r>
        <w:separator/>
      </w:r>
    </w:p>
  </w:endnote>
  <w:endnote w:type="continuationSeparator" w:id="1">
    <w:p w:rsidR="00E76B20" w:rsidRDefault="00E76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05" w:rsidRDefault="00EC09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782354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782354">
      <w:rPr>
        <w:rStyle w:val="PageNumber"/>
        <w:sz w:val="16"/>
      </w:rPr>
      <w:fldChar w:fldCharType="separate"/>
    </w:r>
    <w:r w:rsidR="00EC0905">
      <w:rPr>
        <w:rStyle w:val="PageNumber"/>
        <w:noProof/>
        <w:sz w:val="16"/>
      </w:rPr>
      <w:t>2</w:t>
    </w:r>
    <w:r w:rsidR="00782354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782354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782354">
      <w:rPr>
        <w:rStyle w:val="PageNumber"/>
        <w:sz w:val="16"/>
      </w:rPr>
      <w:fldChar w:fldCharType="separate"/>
    </w:r>
    <w:r w:rsidR="00EC0905">
      <w:rPr>
        <w:rStyle w:val="PageNumber"/>
        <w:noProof/>
        <w:sz w:val="16"/>
      </w:rPr>
      <w:t>2</w:t>
    </w:r>
    <w:r w:rsidR="00782354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782354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87379B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782354">
      <w:rPr>
        <w:sz w:val="16"/>
      </w:rPr>
      <w:fldChar w:fldCharType="begin"/>
    </w:r>
    <w:r>
      <w:rPr>
        <w:sz w:val="16"/>
      </w:rPr>
      <w:instrText xml:space="preserve"> PAGE </w:instrText>
    </w:r>
    <w:r w:rsidR="00782354">
      <w:rPr>
        <w:sz w:val="16"/>
      </w:rPr>
      <w:fldChar w:fldCharType="separate"/>
    </w:r>
    <w:r w:rsidR="00EC0905">
      <w:rPr>
        <w:noProof/>
        <w:sz w:val="16"/>
      </w:rPr>
      <w:t>1</w:t>
    </w:r>
    <w:r w:rsidR="00782354">
      <w:rPr>
        <w:sz w:val="16"/>
      </w:rPr>
      <w:fldChar w:fldCharType="end"/>
    </w:r>
    <w:r>
      <w:rPr>
        <w:sz w:val="16"/>
      </w:rPr>
      <w:t xml:space="preserve"> of </w:t>
    </w:r>
    <w:r w:rsidR="00782354">
      <w:rPr>
        <w:sz w:val="16"/>
      </w:rPr>
      <w:fldChar w:fldCharType="begin"/>
    </w:r>
    <w:r>
      <w:rPr>
        <w:sz w:val="16"/>
      </w:rPr>
      <w:instrText xml:space="preserve"> NUMPAGES </w:instrText>
    </w:r>
    <w:r w:rsidR="00782354">
      <w:rPr>
        <w:sz w:val="16"/>
      </w:rPr>
      <w:fldChar w:fldCharType="separate"/>
    </w:r>
    <w:r w:rsidR="00EC0905">
      <w:rPr>
        <w:noProof/>
        <w:sz w:val="16"/>
      </w:rPr>
      <w:t>2</w:t>
    </w:r>
    <w:r w:rsidR="00782354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B20" w:rsidRDefault="00E76B20">
      <w:r>
        <w:separator/>
      </w:r>
    </w:p>
  </w:footnote>
  <w:footnote w:type="continuationSeparator" w:id="1">
    <w:p w:rsidR="00E76B20" w:rsidRDefault="00E76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05" w:rsidRDefault="00EC09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45469" o:spid="_x0000_s14338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05" w:rsidRDefault="00EC09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45470" o:spid="_x0000_s14339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05" w:rsidRDefault="00EC090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4045468" o:spid="_x0000_s14337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A1A6F"/>
    <w:rsid w:val="000B62ED"/>
    <w:rsid w:val="000C3624"/>
    <w:rsid w:val="000C6DC1"/>
    <w:rsid w:val="00142AF8"/>
    <w:rsid w:val="00144990"/>
    <w:rsid w:val="00171E62"/>
    <w:rsid w:val="0017280B"/>
    <w:rsid w:val="001A262B"/>
    <w:rsid w:val="001D6500"/>
    <w:rsid w:val="002026EB"/>
    <w:rsid w:val="00220C72"/>
    <w:rsid w:val="002415F1"/>
    <w:rsid w:val="00242F49"/>
    <w:rsid w:val="002F6DAC"/>
    <w:rsid w:val="0030681A"/>
    <w:rsid w:val="0031488C"/>
    <w:rsid w:val="00333FDE"/>
    <w:rsid w:val="0033427A"/>
    <w:rsid w:val="00380C0D"/>
    <w:rsid w:val="00391060"/>
    <w:rsid w:val="003E1783"/>
    <w:rsid w:val="00453D52"/>
    <w:rsid w:val="004909E2"/>
    <w:rsid w:val="004E0CC8"/>
    <w:rsid w:val="004E4F2E"/>
    <w:rsid w:val="004F231C"/>
    <w:rsid w:val="0050437F"/>
    <w:rsid w:val="00515A48"/>
    <w:rsid w:val="00523E1A"/>
    <w:rsid w:val="00531480"/>
    <w:rsid w:val="00572A08"/>
    <w:rsid w:val="00593E2F"/>
    <w:rsid w:val="006050C4"/>
    <w:rsid w:val="00642010"/>
    <w:rsid w:val="006568C0"/>
    <w:rsid w:val="00684D03"/>
    <w:rsid w:val="006B3B22"/>
    <w:rsid w:val="006C6945"/>
    <w:rsid w:val="006E3965"/>
    <w:rsid w:val="00713882"/>
    <w:rsid w:val="00782354"/>
    <w:rsid w:val="00831941"/>
    <w:rsid w:val="00867F6D"/>
    <w:rsid w:val="0087379B"/>
    <w:rsid w:val="0089229E"/>
    <w:rsid w:val="008D7B37"/>
    <w:rsid w:val="009129E4"/>
    <w:rsid w:val="0094562E"/>
    <w:rsid w:val="00947319"/>
    <w:rsid w:val="00965B98"/>
    <w:rsid w:val="009B106E"/>
    <w:rsid w:val="009B214C"/>
    <w:rsid w:val="009E47DC"/>
    <w:rsid w:val="00A04A37"/>
    <w:rsid w:val="00A21A15"/>
    <w:rsid w:val="00A260D2"/>
    <w:rsid w:val="00A32A77"/>
    <w:rsid w:val="00AC1680"/>
    <w:rsid w:val="00B02674"/>
    <w:rsid w:val="00B20AA6"/>
    <w:rsid w:val="00B37656"/>
    <w:rsid w:val="00B94E81"/>
    <w:rsid w:val="00BB226B"/>
    <w:rsid w:val="00BC65DD"/>
    <w:rsid w:val="00BD0A33"/>
    <w:rsid w:val="00C1449B"/>
    <w:rsid w:val="00C44E36"/>
    <w:rsid w:val="00C5767C"/>
    <w:rsid w:val="00C8786A"/>
    <w:rsid w:val="00CA7D45"/>
    <w:rsid w:val="00CC3C70"/>
    <w:rsid w:val="00D441E8"/>
    <w:rsid w:val="00D50F9E"/>
    <w:rsid w:val="00D66F54"/>
    <w:rsid w:val="00D745F4"/>
    <w:rsid w:val="00DA0438"/>
    <w:rsid w:val="00DD33F9"/>
    <w:rsid w:val="00DE5ECC"/>
    <w:rsid w:val="00E0418D"/>
    <w:rsid w:val="00E526FE"/>
    <w:rsid w:val="00E54520"/>
    <w:rsid w:val="00E76B20"/>
    <w:rsid w:val="00EA20FE"/>
    <w:rsid w:val="00EC0905"/>
    <w:rsid w:val="00F42ABE"/>
    <w:rsid w:val="00F5323E"/>
    <w:rsid w:val="00F72C8A"/>
    <w:rsid w:val="00FB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0D2"/>
    <w:rPr>
      <w:sz w:val="24"/>
    </w:rPr>
  </w:style>
  <w:style w:type="paragraph" w:styleId="Heading1">
    <w:name w:val="heading 1"/>
    <w:basedOn w:val="Normal"/>
    <w:next w:val="Normal"/>
    <w:qFormat/>
    <w:rsid w:val="00A260D2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260D2"/>
    <w:pPr>
      <w:keepNext/>
      <w:outlineLvl w:val="1"/>
    </w:pPr>
  </w:style>
  <w:style w:type="paragraph" w:styleId="Heading3">
    <w:name w:val="heading 3"/>
    <w:basedOn w:val="Normal"/>
    <w:next w:val="Normal"/>
    <w:qFormat/>
    <w:rsid w:val="00A260D2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260D2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A260D2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A260D2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A260D2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A260D2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A260D2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A260D2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A260D2"/>
    <w:pPr>
      <w:jc w:val="both"/>
    </w:pPr>
  </w:style>
  <w:style w:type="character" w:styleId="Hyperlink">
    <w:name w:val="Hyperlink"/>
    <w:basedOn w:val="DefaultParagraphFont"/>
    <w:rsid w:val="00A260D2"/>
    <w:rPr>
      <w:color w:val="0000FF"/>
      <w:u w:val="single"/>
    </w:rPr>
  </w:style>
  <w:style w:type="paragraph" w:styleId="BodyText2">
    <w:name w:val="Body Text 2"/>
    <w:basedOn w:val="Normal"/>
    <w:rsid w:val="00A260D2"/>
  </w:style>
  <w:style w:type="paragraph" w:styleId="Header">
    <w:name w:val="header"/>
    <w:basedOn w:val="Normal"/>
    <w:rsid w:val="00A260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60D2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260D2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A260D2"/>
    <w:pPr>
      <w:spacing w:after="120"/>
      <w:ind w:left="567"/>
      <w:jc w:val="both"/>
    </w:pPr>
  </w:style>
  <w:style w:type="paragraph" w:styleId="BodyText3">
    <w:name w:val="Body Text 3"/>
    <w:basedOn w:val="Normal"/>
    <w:rsid w:val="00A260D2"/>
    <w:rPr>
      <w:sz w:val="22"/>
    </w:rPr>
  </w:style>
  <w:style w:type="paragraph" w:styleId="BodyTextIndent3">
    <w:name w:val="Body Text Indent 3"/>
    <w:basedOn w:val="Normal"/>
    <w:rsid w:val="00A260D2"/>
    <w:pPr>
      <w:ind w:left="360"/>
    </w:pPr>
    <w:rPr>
      <w:bCs/>
    </w:rPr>
  </w:style>
  <w:style w:type="character" w:styleId="PageNumber">
    <w:name w:val="page number"/>
    <w:basedOn w:val="DefaultParagraphFont"/>
    <w:rsid w:val="00A260D2"/>
  </w:style>
  <w:style w:type="paragraph" w:styleId="BalloonText">
    <w:name w:val="Balloon Text"/>
    <w:basedOn w:val="Normal"/>
    <w:semiHidden/>
    <w:rsid w:val="00A26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F068-EA8B-4A04-9390-DF04772F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8</cp:revision>
  <cp:lastPrinted>2010-06-25T21:02:00Z</cp:lastPrinted>
  <dcterms:created xsi:type="dcterms:W3CDTF">2010-08-02T06:54:00Z</dcterms:created>
  <dcterms:modified xsi:type="dcterms:W3CDTF">2010-09-16T17:24:00Z</dcterms:modified>
</cp:coreProperties>
</file>